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15C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D05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3439FE22" w:rsidR="0088254E" w:rsidRPr="00392D46" w:rsidRDefault="0007037C" w:rsidP="0088254E">
            <w:pPr>
              <w:rPr>
                <w:rFonts w:ascii="Garamond" w:hAnsi="Garamond" w:cstheme="minorHAnsi"/>
              </w:rPr>
            </w:pPr>
            <w:r>
              <w:rPr>
                <w:rFonts w:ascii="Garamond" w:hAnsi="Garamond" w:cstheme="minorHAnsi"/>
              </w:rPr>
              <w:t>Spring 2023</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6DC6E6B4" w:rsidR="003336AE" w:rsidRPr="00392D46" w:rsidRDefault="00034123" w:rsidP="000F3624">
            <w:pPr>
              <w:rPr>
                <w:rFonts w:ascii="Garamond" w:hAnsi="Garamond" w:cstheme="minorHAnsi"/>
              </w:rPr>
            </w:pPr>
            <w:r>
              <w:rPr>
                <w:rFonts w:ascii="Garamond" w:hAnsi="Garamond" w:cstheme="minorHAnsi"/>
              </w:rPr>
              <w:t>N/A</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4F7F09DF" w:rsidR="003336AE" w:rsidRPr="00392D46" w:rsidRDefault="006E48F9" w:rsidP="000F3624">
            <w:pPr>
              <w:rPr>
                <w:rFonts w:ascii="Garamond" w:hAnsi="Garamond" w:cstheme="minorHAnsi"/>
              </w:rPr>
            </w:pPr>
            <w:r>
              <w:rPr>
                <w:rFonts w:ascii="Garamond" w:hAnsi="Garamond" w:cstheme="minorHAnsi"/>
              </w:rPr>
              <w:t xml:space="preserve">340-1: </w:t>
            </w:r>
            <w:r w:rsidR="00714D02">
              <w:rPr>
                <w:rFonts w:ascii="Garamond" w:hAnsi="Garamond" w:cstheme="minorHAnsi"/>
              </w:rPr>
              <w:t>Online</w:t>
            </w:r>
            <w:r>
              <w:rPr>
                <w:rFonts w:ascii="Garamond" w:hAnsi="Garamond" w:cstheme="minorHAnsi"/>
              </w:rPr>
              <w:t xml:space="preserve">; 340-2: </w:t>
            </w:r>
            <w:r w:rsidR="00714D02">
              <w:rPr>
                <w:rFonts w:ascii="Garamond" w:hAnsi="Garamond" w:cstheme="minorHAnsi"/>
              </w:rPr>
              <w:t>In Person</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AB1AFBC" w14:textId="303E1FEB" w:rsidR="00546FB6" w:rsidRPr="00392D46" w:rsidRDefault="00556D53" w:rsidP="000F3624">
            <w:pPr>
              <w:rPr>
                <w:rFonts w:ascii="Garamond" w:hAnsi="Garamond" w:cstheme="minorHAnsi"/>
              </w:rPr>
            </w:pPr>
            <w:r>
              <w:rPr>
                <w:rFonts w:ascii="Garamond" w:hAnsi="Garamond" w:cs="Times New Roman"/>
              </w:rPr>
              <w:t>N/A Online Section</w:t>
            </w:r>
          </w:p>
        </w:tc>
      </w:tr>
    </w:tbl>
    <w:p w14:paraId="13935384" w14:textId="77777777" w:rsidR="007D0B4D" w:rsidRPr="00392D46" w:rsidRDefault="007D0B4D" w:rsidP="004706F5">
      <w:pPr>
        <w:pStyle w:val="Heading2"/>
        <w:rPr>
          <w:rFonts w:ascii="Garamond" w:hAnsi="Garamond"/>
        </w:rPr>
      </w:pPr>
      <w:r w:rsidRPr="00392D46">
        <w:rPr>
          <w:rFonts w:ascii="Garamond" w:hAnsi="Garamond"/>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5C1C81F4"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w:t>
            </w:r>
            <w:r w:rsidR="00AF682A">
              <w:rPr>
                <w:rFonts w:ascii="Garamond" w:hAnsi="Garamond" w:cstheme="minorHAnsi"/>
              </w:rPr>
              <w:t>-</w:t>
            </w:r>
            <w:r>
              <w:rPr>
                <w:rFonts w:ascii="Garamond" w:hAnsi="Garamond" w:cstheme="minorHAnsi"/>
              </w:rPr>
              <w:t>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 responses; Second reading – read through all responses and begin to rank student responses; Third reading – apply a numerical score for each response.</w:t>
            </w:r>
          </w:p>
          <w:p w14:paraId="41235BFA" w14:textId="77777777" w:rsidR="00874AE6"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p w14:paraId="72B7E56D" w14:textId="77777777" w:rsidR="006A4964" w:rsidRDefault="006A4964" w:rsidP="004E3ABB">
            <w:pPr>
              <w:rPr>
                <w:rFonts w:ascii="Garamond" w:hAnsi="Garamond" w:cstheme="minorHAnsi"/>
              </w:rPr>
            </w:pPr>
          </w:p>
          <w:p w14:paraId="1C27763D" w14:textId="5731E663" w:rsidR="00E921B9" w:rsidRDefault="00E921B9" w:rsidP="00E921B9">
            <w:pPr>
              <w:rPr>
                <w:rFonts w:ascii="Garamond" w:hAnsi="Garamond" w:cstheme="minorHAnsi"/>
              </w:rPr>
            </w:pPr>
            <w:r>
              <w:rPr>
                <w:rFonts w:ascii="Garamond" w:hAnsi="Garamond" w:cstheme="minorHAnsi"/>
                <w:b/>
                <w:bCs/>
              </w:rPr>
              <w:t xml:space="preserve">A Note on Plagiarism and Cheating. </w:t>
            </w:r>
            <w:r w:rsidRPr="00472A5C">
              <w:rPr>
                <w:rFonts w:ascii="Garamond" w:hAnsi="Garamond" w:cstheme="minorHAnsi"/>
                <w:b/>
                <w:bCs/>
              </w:rPr>
              <w:t>Plagiarized responses will result in a score of -75</w:t>
            </w:r>
            <w:r>
              <w:rPr>
                <w:rFonts w:ascii="Garamond" w:hAnsi="Garamond" w:cstheme="minorHAnsi"/>
                <w:b/>
                <w:bCs/>
              </w:rPr>
              <w:t xml:space="preserve">. </w:t>
            </w:r>
            <w:r>
              <w:rPr>
                <w:rFonts w:ascii="Garamond" w:hAnsi="Garamond" w:cstheme="minorHAnsi"/>
              </w:rPr>
              <w:t>TurnItIn will be used for all essay responses on tests, so if you copied work from the internet or from students’ answers in prior semesters, I will know the work is plagiarized. Of course, quoting legitimate sources, using quotation marks and a reference to the source is always allowed. Plagiarized work will not be subject to my policy of dropping the lowest Unit Test score described below.</w:t>
            </w:r>
            <w:r w:rsidR="006B3763">
              <w:rPr>
                <w:rFonts w:ascii="Garamond" w:hAnsi="Garamond" w:cstheme="minorHAnsi"/>
              </w:rPr>
              <w:t xml:space="preserve"> It is worth mentioning that websites such as CourseHero.com are for-profit businesses built entirely upon helping students cheat </w:t>
            </w:r>
            <w:r w:rsidR="006D5BF0">
              <w:rPr>
                <w:rFonts w:ascii="Garamond" w:hAnsi="Garamond" w:cstheme="minorHAnsi"/>
              </w:rPr>
              <w:t>and enticing students to steal intellectual property</w:t>
            </w:r>
            <w:r w:rsidR="00463109">
              <w:rPr>
                <w:rFonts w:ascii="Garamond" w:hAnsi="Garamond" w:cstheme="minorHAnsi"/>
              </w:rPr>
              <w:t xml:space="preserve"> which it then monetizes</w:t>
            </w:r>
            <w:r w:rsidR="006D5BF0">
              <w:rPr>
                <w:rFonts w:ascii="Garamond" w:hAnsi="Garamond" w:cstheme="minorHAnsi"/>
              </w:rPr>
              <w:t>.</w:t>
            </w:r>
            <w:r w:rsidR="00463109">
              <w:rPr>
                <w:rFonts w:ascii="Garamond" w:hAnsi="Garamond" w:cstheme="minorHAnsi"/>
              </w:rPr>
              <w:t xml:space="preserve"> Much of the material posted on the website is inaccurate, and if you use such inaccurate material</w:t>
            </w:r>
            <w:r w:rsidR="00F75D35">
              <w:rPr>
                <w:rFonts w:ascii="Garamond" w:hAnsi="Garamond" w:cstheme="minorHAnsi"/>
              </w:rPr>
              <w:t xml:space="preserve"> I will know where it came from and I will not award points for it.</w:t>
            </w:r>
            <w:r w:rsidR="006D5BF0">
              <w:rPr>
                <w:rFonts w:ascii="Garamond" w:hAnsi="Garamond" w:cstheme="minorHAnsi"/>
              </w:rPr>
              <w:t xml:space="preserve"> </w:t>
            </w:r>
            <w:r w:rsidR="00463109">
              <w:rPr>
                <w:rFonts w:ascii="Garamond" w:hAnsi="Garamond" w:cstheme="minorHAnsi"/>
              </w:rPr>
              <w:t>Using a site such as Course Hero, will likely result in you doing worse in the course than if you simply paid attention and studie</w:t>
            </w:r>
            <w:r w:rsidR="00F75D35">
              <w:rPr>
                <w:rFonts w:ascii="Garamond" w:hAnsi="Garamond" w:cstheme="minorHAnsi"/>
              </w:rPr>
              <w:t>d</w:t>
            </w:r>
            <w:r w:rsidR="00463109">
              <w:rPr>
                <w:rFonts w:ascii="Garamond" w:hAnsi="Garamond" w:cstheme="minorHAnsi"/>
              </w:rPr>
              <w:t xml:space="preserve"> the material, and frankly, is a huge waste of your tuition money. </w:t>
            </w:r>
            <w:r w:rsidR="006D5BF0">
              <w:rPr>
                <w:rFonts w:ascii="Garamond" w:hAnsi="Garamond" w:cstheme="minorHAnsi"/>
              </w:rPr>
              <w:t xml:space="preserve">I would strongly discourage students from using the website at </w:t>
            </w:r>
            <w:r w:rsidR="006D5BF0">
              <w:rPr>
                <w:rFonts w:ascii="Garamond" w:hAnsi="Garamond" w:cstheme="minorHAnsi"/>
              </w:rPr>
              <w:lastRenderedPageBreak/>
              <w:t>all.</w:t>
            </w:r>
            <w:r w:rsidR="00B614DD">
              <w:rPr>
                <w:rFonts w:ascii="Garamond" w:hAnsi="Garamond" w:cstheme="minorHAnsi"/>
              </w:rPr>
              <w:t xml:space="preserve"> That said, I cannot police what you do outside of class. I can (and will), however, </w:t>
            </w:r>
            <w:r w:rsidR="00934ED9">
              <w:rPr>
                <w:rFonts w:ascii="Garamond" w:hAnsi="Garamond" w:cstheme="minorHAnsi"/>
              </w:rPr>
              <w:t>take notice of incorrect responses that are clearly coming from an outside source.</w:t>
            </w:r>
          </w:p>
          <w:p w14:paraId="504E43E9" w14:textId="304218A3" w:rsidR="006A4964" w:rsidRPr="00472A5C" w:rsidRDefault="006A4964" w:rsidP="004E3ABB">
            <w:pPr>
              <w:rPr>
                <w:rFonts w:ascii="Garamond" w:hAnsi="Garamond" w:cstheme="minorHAnsi"/>
              </w:rPr>
            </w:pP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08127104"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574526AE"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5DD5734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4C749DA"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7C8BF71B" w14:textId="29EF31E5" w:rsidR="009446FE" w:rsidRPr="00392D46" w:rsidRDefault="00724B49" w:rsidP="009446FE">
            <w:pPr>
              <w:rPr>
                <w:rFonts w:ascii="Garamond" w:hAnsi="Garamond"/>
              </w:rPr>
            </w:pPr>
            <w:r>
              <w:rPr>
                <w:rFonts w:ascii="Garamond" w:hAnsi="Garamond"/>
              </w:rPr>
              <w:t xml:space="preserve">Unit Four Test - </w:t>
            </w:r>
            <w:r w:rsidR="00D0184A">
              <w:rPr>
                <w:rFonts w:ascii="Garamond" w:hAnsi="Garamond"/>
              </w:rPr>
              <w:t xml:space="preserve"> Constitutional Law</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3EDE0371"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13AC78C8" w14:textId="66981938" w:rsidR="009446FE" w:rsidRPr="00392D46" w:rsidRDefault="00724B49" w:rsidP="009446FE">
            <w:pPr>
              <w:rPr>
                <w:rFonts w:ascii="Garamond" w:hAnsi="Garamond"/>
              </w:rPr>
            </w:pPr>
            <w:r>
              <w:rPr>
                <w:rFonts w:ascii="Garamond" w:hAnsi="Garamond"/>
              </w:rPr>
              <w:t xml:space="preserve">Unit Five Test – </w:t>
            </w:r>
            <w:r w:rsidR="00C1067A">
              <w:rPr>
                <w:rFonts w:ascii="Garamond" w:hAnsi="Garamond"/>
              </w:rPr>
              <w:t>Ethics</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1A90E420"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CA440A8" w14:textId="0B1ACFC9" w:rsidR="009446FE" w:rsidRPr="00392D46" w:rsidRDefault="00724B49" w:rsidP="009446FE">
            <w:pPr>
              <w:rPr>
                <w:rFonts w:ascii="Garamond" w:hAnsi="Garamond"/>
              </w:rPr>
            </w:pPr>
            <w:r>
              <w:rPr>
                <w:rFonts w:ascii="Garamond" w:hAnsi="Garamond"/>
              </w:rPr>
              <w:t>Unit Six Test –</w:t>
            </w:r>
            <w:r w:rsidR="00C1067A">
              <w:rPr>
                <w:rFonts w:ascii="Garamond" w:hAnsi="Garamond"/>
              </w:rPr>
              <w:t xml:space="preserve"> </w:t>
            </w:r>
            <w:r>
              <w:rPr>
                <w:rFonts w:ascii="Garamond" w:hAnsi="Garamond"/>
              </w:rPr>
              <w:t>Contract</w:t>
            </w:r>
            <w:r w:rsidR="00C1067A">
              <w:rPr>
                <w:rFonts w:ascii="Garamond" w:hAnsi="Garamond"/>
              </w:rPr>
              <w:t xml:space="preserve"> Basics &amp; Formation</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1543961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23F7F07D" w14:textId="2921950F" w:rsidR="009446FE" w:rsidRPr="00392D46" w:rsidRDefault="00724B49" w:rsidP="009446FE">
            <w:pPr>
              <w:rPr>
                <w:rFonts w:ascii="Garamond" w:hAnsi="Garamond"/>
              </w:rPr>
            </w:pPr>
            <w:r>
              <w:rPr>
                <w:rFonts w:ascii="Garamond" w:hAnsi="Garamond"/>
              </w:rPr>
              <w:t>Unit Seven Test – Contract</w:t>
            </w:r>
            <w:r w:rsidR="00C1067A">
              <w:rPr>
                <w:rFonts w:ascii="Garamond" w:hAnsi="Garamond"/>
              </w:rPr>
              <w:t xml:space="preserve"> Law – Elements &amp;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5EDBDE7C" w:rsidR="009446FE" w:rsidRPr="00392D46" w:rsidRDefault="00FB3C7B"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 xml:space="preserve">The Average </w:t>
            </w:r>
            <w:r w:rsidR="008C5A1D">
              <w:rPr>
                <w:rFonts w:ascii="Garamond" w:hAnsi="Garamond"/>
                <w:spacing w:val="-3"/>
                <w:szCs w:val="24"/>
              </w:rPr>
              <w:t>Score of Unit Tests Comprises 95% of the Course Grade</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20F1C8E0"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EC0366">
              <w:rPr>
                <w:rFonts w:ascii="Garamond" w:hAnsi="Garamond" w:cstheme="minorHAnsi"/>
              </w:rPr>
              <w:t xml:space="preserve"> - </w:t>
            </w:r>
            <w:r w:rsidR="007A69C0">
              <w:rPr>
                <w:rFonts w:ascii="Garamond" w:hAnsi="Garamond" w:cstheme="minorHAnsi"/>
              </w:rPr>
              <w:t xml:space="preserve"> .jpegs and .gifs </w:t>
            </w:r>
            <w:r w:rsidR="00EC0366">
              <w:rPr>
                <w:rFonts w:ascii="Garamond" w:hAnsi="Garamond" w:cstheme="minorHAnsi"/>
              </w:rPr>
              <w:t>are</w:t>
            </w:r>
            <w:r w:rsidR="007A69C0">
              <w:rPr>
                <w:rFonts w:ascii="Garamond" w:hAnsi="Garamond" w:cstheme="minorHAnsi"/>
              </w:rPr>
              <w:t xml:space="preserve">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22715D2B" w14:textId="77777777" w:rsidR="00DC3C54" w:rsidRPr="00DC3C54" w:rsidRDefault="00DC3C54" w:rsidP="00DC3C54">
            <w:pPr>
              <w:jc w:val="both"/>
              <w:rPr>
                <w:rFonts w:ascii="Garamond" w:hAnsi="Garamond"/>
              </w:rPr>
            </w:pPr>
            <w:r w:rsidRPr="00DC3C54">
              <w:rPr>
                <w:rFonts w:ascii="Garamond" w:hAnsi="Garamond"/>
                <w:b/>
                <w:bCs/>
              </w:rPr>
              <w:t xml:space="preserve">Smiley </w:t>
            </w:r>
            <w:r w:rsidRPr="00DC3C54">
              <w:rPr>
                <w:rFonts w:ascii="Garamond" w:hAnsi="Garamond"/>
                <w:b/>
              </w:rPr>
              <w:t>Professional Events</w:t>
            </w:r>
            <w:r w:rsidRPr="00DC3C54">
              <w:rPr>
                <w:rFonts w:ascii="Garamond" w:hAnsi="Garamond"/>
              </w:rPr>
              <w:t xml:space="preserve"> (or </w:t>
            </w:r>
            <w:r w:rsidRPr="00DC3C54">
              <w:rPr>
                <w:rFonts w:ascii="Garamond" w:hAnsi="Garamond"/>
                <w:b/>
              </w:rPr>
              <w:t>Pro Events</w:t>
            </w:r>
            <w:r w:rsidRPr="00DC3C54">
              <w:rPr>
                <w:rFonts w:ascii="Garamond" w:hAnsi="Garamond"/>
              </w:rPr>
              <w:t xml:space="preserve">) and the </w:t>
            </w:r>
            <w:r w:rsidRPr="00DC3C54">
              <w:rPr>
                <w:rFonts w:ascii="Garamond" w:hAnsi="Garamond"/>
                <w:b/>
                <w:bCs/>
              </w:rPr>
              <w:t>Anderson Classroom to Career Center (C2C)</w:t>
            </w:r>
            <w:r w:rsidRPr="00DC3C54">
              <w:rPr>
                <w:rFonts w:ascii="Garamond" w:hAnsi="Garamond"/>
              </w:rPr>
              <w:t xml:space="preserve"> are flagship programs of the Sentry School.</w:t>
            </w:r>
          </w:p>
          <w:p w14:paraId="720FF8CF" w14:textId="77777777" w:rsidR="00DC3C54" w:rsidRPr="00DC3C54" w:rsidRDefault="00DC3C54" w:rsidP="00DC3C54">
            <w:pPr>
              <w:jc w:val="both"/>
              <w:rPr>
                <w:rFonts w:ascii="Garamond" w:hAnsi="Garamond"/>
              </w:rPr>
            </w:pPr>
          </w:p>
          <w:p w14:paraId="69C91442" w14:textId="77777777" w:rsidR="00DC3C54" w:rsidRPr="00DC3C54" w:rsidRDefault="00DC3C54" w:rsidP="00DC3C54">
            <w:pPr>
              <w:jc w:val="both"/>
              <w:rPr>
                <w:rFonts w:ascii="Garamond" w:hAnsi="Garamond"/>
              </w:rPr>
            </w:pPr>
            <w:r w:rsidRPr="00DC3C54">
              <w:rPr>
                <w:rFonts w:ascii="Garamond" w:hAnsi="Garamond"/>
              </w:rPr>
              <w:t>Pro Events connect you to:</w:t>
            </w:r>
          </w:p>
          <w:p w14:paraId="621B19F1" w14:textId="77777777" w:rsidR="00DC3C54" w:rsidRPr="00DC3C54" w:rsidRDefault="00DC3C54" w:rsidP="00DC3C54">
            <w:pPr>
              <w:numPr>
                <w:ilvl w:val="0"/>
                <w:numId w:val="27"/>
              </w:numPr>
              <w:jc w:val="both"/>
              <w:rPr>
                <w:rFonts w:ascii="Garamond" w:hAnsi="Garamond"/>
              </w:rPr>
            </w:pPr>
            <w:r w:rsidRPr="00DC3C54">
              <w:rPr>
                <w:rFonts w:ascii="Garamond" w:hAnsi="Garamond"/>
                <w:i/>
              </w:rPr>
              <w:t>Campus</w:t>
            </w:r>
            <w:r w:rsidRPr="00DC3C54">
              <w:rPr>
                <w:rFonts w:ascii="Garamond" w:hAnsi="Garamond"/>
              </w:rPr>
              <w:t xml:space="preserve"> (e.g., academic coaching, student clubs);</w:t>
            </w:r>
          </w:p>
          <w:p w14:paraId="44BF16F4" w14:textId="77777777" w:rsidR="00DC3C54" w:rsidRPr="00DC3C54" w:rsidRDefault="00DC3C54" w:rsidP="00DC3C54">
            <w:pPr>
              <w:numPr>
                <w:ilvl w:val="0"/>
                <w:numId w:val="27"/>
              </w:numPr>
              <w:jc w:val="both"/>
              <w:rPr>
                <w:rFonts w:ascii="Garamond" w:hAnsi="Garamond"/>
              </w:rPr>
            </w:pPr>
            <w:r w:rsidRPr="00DC3C54">
              <w:rPr>
                <w:rFonts w:ascii="Garamond" w:hAnsi="Garamond"/>
                <w:i/>
              </w:rPr>
              <w:t>Community</w:t>
            </w:r>
            <w:r w:rsidRPr="00DC3C54">
              <w:rPr>
                <w:rFonts w:ascii="Garamond" w:hAnsi="Garamond"/>
              </w:rPr>
              <w:t xml:space="preserve"> (e.g., Rotary, Business Council): and</w:t>
            </w:r>
          </w:p>
          <w:p w14:paraId="71E077C3" w14:textId="77777777" w:rsidR="00DC3C54" w:rsidRPr="00DC3C54" w:rsidRDefault="00DC3C54" w:rsidP="00DC3C54">
            <w:pPr>
              <w:numPr>
                <w:ilvl w:val="0"/>
                <w:numId w:val="27"/>
              </w:numPr>
              <w:jc w:val="both"/>
              <w:rPr>
                <w:rFonts w:ascii="Garamond" w:hAnsi="Garamond"/>
              </w:rPr>
            </w:pPr>
            <w:r w:rsidRPr="00DC3C54">
              <w:rPr>
                <w:rFonts w:ascii="Garamond" w:hAnsi="Garamond"/>
                <w:i/>
              </w:rPr>
              <w:t>Careers</w:t>
            </w:r>
            <w:r w:rsidRPr="00DC3C54">
              <w:rPr>
                <w:rFonts w:ascii="Garamond" w:hAnsi="Garamond"/>
              </w:rPr>
              <w:t xml:space="preserve"> (e.g., internships, networking).</w:t>
            </w:r>
          </w:p>
          <w:p w14:paraId="4B5F6DF9" w14:textId="77777777" w:rsidR="00DC3C54" w:rsidRPr="00DC3C54" w:rsidRDefault="00DC3C54" w:rsidP="00DC3C54">
            <w:pPr>
              <w:jc w:val="both"/>
              <w:rPr>
                <w:rFonts w:ascii="Garamond" w:hAnsi="Garamond"/>
              </w:rPr>
            </w:pPr>
          </w:p>
          <w:p w14:paraId="270AC64C" w14:textId="77777777" w:rsidR="00DC3C54" w:rsidRPr="00DC3C54" w:rsidRDefault="00DC3C54" w:rsidP="00DC3C54">
            <w:pPr>
              <w:jc w:val="both"/>
              <w:rPr>
                <w:rFonts w:ascii="Garamond" w:hAnsi="Garamond"/>
              </w:rPr>
            </w:pPr>
            <w:r w:rsidRPr="00DC3C54">
              <w:rPr>
                <w:rFonts w:ascii="Garamond" w:hAnsi="Garamond"/>
              </w:rPr>
              <w:t>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6366071B" w14:textId="77777777" w:rsidR="00DC3C54" w:rsidRPr="00DC3C54" w:rsidRDefault="00DC3C54" w:rsidP="00DC3C54">
            <w:pPr>
              <w:jc w:val="both"/>
              <w:rPr>
                <w:rFonts w:ascii="Garamond" w:hAnsi="Garamond"/>
              </w:rPr>
            </w:pPr>
          </w:p>
          <w:p w14:paraId="5C2B8B2C" w14:textId="77777777" w:rsidR="00DC3C54" w:rsidRPr="00DC3C54" w:rsidRDefault="00DC3C54" w:rsidP="00DC3C54">
            <w:pPr>
              <w:jc w:val="both"/>
              <w:rPr>
                <w:rFonts w:ascii="Garamond" w:hAnsi="Garamond"/>
              </w:rPr>
            </w:pPr>
            <w:r w:rsidRPr="00DC3C54">
              <w:rPr>
                <w:rFonts w:ascii="Garamond" w:hAnsi="Garamond"/>
              </w:rPr>
              <w:t xml:space="preserve">Find the Pro Events calendar in the new virtual C2C!  Get started by either downloading the Suitable app in your preferred app store or by visiting </w:t>
            </w:r>
            <w:r w:rsidRPr="00DC3C54">
              <w:rPr>
                <w:rFonts w:ascii="Garamond" w:hAnsi="Garamond"/>
                <w:b/>
                <w:bCs/>
              </w:rPr>
              <w:t>app.suitable.co</w:t>
            </w:r>
            <w:r w:rsidRPr="00DC3C54">
              <w:rPr>
                <w:rFonts w:ascii="Garamond" w:hAnsi="Garamond"/>
              </w:rPr>
              <w:t>.  Then log in with your UWSP email; be sure to give access to your camera and turn on notifications.  Later in the semester, you will receive instructions on how to request that your Pro Events attendance credits be applied to your Sentry School classes with Pro Events requirements.</w:t>
            </w:r>
          </w:p>
          <w:p w14:paraId="0D86F433" w14:textId="77777777" w:rsidR="00DC3C54" w:rsidRPr="00DC3C54" w:rsidRDefault="00DC3C54" w:rsidP="00DC3C54">
            <w:pPr>
              <w:jc w:val="both"/>
              <w:rPr>
                <w:rFonts w:ascii="Garamond" w:hAnsi="Garamond"/>
              </w:rPr>
            </w:pPr>
          </w:p>
          <w:p w14:paraId="0D52FA82" w14:textId="77777777" w:rsidR="00DC3C54" w:rsidRPr="00DC3C54" w:rsidRDefault="00DC3C54" w:rsidP="00DC3C54">
            <w:pPr>
              <w:jc w:val="both"/>
              <w:rPr>
                <w:rFonts w:ascii="Garamond" w:hAnsi="Garamond"/>
              </w:rPr>
            </w:pPr>
            <w:r w:rsidRPr="00DC3C54">
              <w:rPr>
                <w:rFonts w:ascii="Garamond" w:hAnsi="Garamond"/>
              </w:rPr>
              <w:t xml:space="preserve">For this course, you must attend </w:t>
            </w:r>
            <w:r w:rsidRPr="00DC3C54">
              <w:rPr>
                <w:rFonts w:ascii="Garamond" w:hAnsi="Garamond"/>
                <w:b/>
              </w:rPr>
              <w:t>two</w:t>
            </w:r>
            <w:r w:rsidRPr="00DC3C54">
              <w:rPr>
                <w:rFonts w:ascii="Garamond" w:hAnsi="Garamond"/>
              </w:rPr>
              <w:t xml:space="preserve"> official Pro Events.  One event must be before the mid-semester cut-off of </w:t>
            </w:r>
            <w:r w:rsidRPr="00DC3C54">
              <w:rPr>
                <w:rFonts w:ascii="Garamond" w:hAnsi="Garamond"/>
                <w:b/>
              </w:rPr>
              <w:t>Oct. 27</w:t>
            </w:r>
            <w:r w:rsidRPr="00DC3C54">
              <w:rPr>
                <w:rFonts w:ascii="Garamond" w:hAnsi="Garamond"/>
              </w:rPr>
              <w:t xml:space="preserve">; a second event must be before the end-of-semester cut-off </w:t>
            </w:r>
            <w:r w:rsidRPr="00DC3C54">
              <w:rPr>
                <w:rFonts w:ascii="Garamond" w:hAnsi="Garamond"/>
              </w:rPr>
              <w:br/>
              <w:t>(</w:t>
            </w:r>
            <w:r w:rsidRPr="00DC3C54">
              <w:rPr>
                <w:rFonts w:ascii="Garamond" w:hAnsi="Garamond"/>
                <w:b/>
              </w:rPr>
              <w:t>Dec. 15</w:t>
            </w:r>
            <w:r w:rsidRPr="00DC3C54">
              <w:rPr>
                <w:rFonts w:ascii="Garamond" w:hAnsi="Garamond"/>
              </w:rPr>
              <w:t>).  If you go to extra events before the mid-semester cut-off, those credits will carry over into the second half of the semester.  Attendance at each event will count for ___ points towards your final grade.</w:t>
            </w:r>
          </w:p>
          <w:p w14:paraId="4361069F" w14:textId="77777777" w:rsidR="00DC3C54" w:rsidRPr="00DC3C54" w:rsidRDefault="00DC3C54" w:rsidP="00DC3C54">
            <w:pPr>
              <w:jc w:val="both"/>
              <w:rPr>
                <w:rFonts w:ascii="Garamond" w:hAnsi="Garamond"/>
              </w:rPr>
            </w:pPr>
          </w:p>
          <w:p w14:paraId="7C47E0D8" w14:textId="77777777" w:rsidR="00DC3C54" w:rsidRPr="00DC3C54" w:rsidRDefault="00DC3C54" w:rsidP="00DC3C54">
            <w:pPr>
              <w:jc w:val="both"/>
              <w:rPr>
                <w:rFonts w:ascii="Garamond" w:hAnsi="Garamond"/>
              </w:rPr>
            </w:pPr>
            <w:r w:rsidRPr="00DC3C54">
              <w:rPr>
                <w:rFonts w:ascii="Garamond" w:hAnsi="Garamond"/>
              </w:rPr>
              <w:t>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w:t>
            </w:r>
          </w:p>
          <w:p w14:paraId="6C89AB90" w14:textId="77777777" w:rsidR="00DC3C54" w:rsidRPr="00DC3C54" w:rsidRDefault="00DC3C54" w:rsidP="00DC3C54">
            <w:pPr>
              <w:jc w:val="both"/>
              <w:rPr>
                <w:rFonts w:ascii="Garamond" w:hAnsi="Garamond"/>
              </w:rPr>
            </w:pPr>
          </w:p>
          <w:p w14:paraId="78879F22" w14:textId="77777777" w:rsidR="00DC3C54" w:rsidRPr="00DC3C54" w:rsidRDefault="00DC3C54" w:rsidP="00DC3C54">
            <w:pPr>
              <w:jc w:val="both"/>
              <w:rPr>
                <w:rFonts w:ascii="Garamond" w:hAnsi="Garamond"/>
                <w:b/>
                <w:bCs/>
              </w:rPr>
            </w:pPr>
            <w:r w:rsidRPr="00DC3C54">
              <w:rPr>
                <w:rFonts w:ascii="Garamond" w:hAnsi="Garamond"/>
                <w:b/>
                <w:bCs/>
              </w:rPr>
              <w:t>Only students registered for 100% online or branch-campus classes have access to Pro Events recordings.</w:t>
            </w:r>
            <w:r w:rsidRPr="00DC3C54">
              <w:rPr>
                <w:rFonts w:ascii="Garamond" w:hAnsi="Garamond"/>
              </w:rPr>
              <w:t xml:space="preserve">  The number of videos available will be pro-rated based on the number of such courses in which you are enrolled.  Video events must be completed one week before the general Pro Events cut-</w:t>
            </w:r>
            <w:r w:rsidRPr="00DC3C54">
              <w:rPr>
                <w:rFonts w:ascii="Garamond" w:hAnsi="Garamond"/>
              </w:rPr>
              <w:lastRenderedPageBreak/>
              <w:t xml:space="preserve">offs.  </w:t>
            </w:r>
            <w:r w:rsidRPr="00DC3C54">
              <w:rPr>
                <w:rFonts w:ascii="Garamond" w:hAnsi="Garamond"/>
                <w:b/>
                <w:bCs/>
              </w:rPr>
              <w:t>For Fall 2023, the video deadlines are Oct. 20 for the first half-semester and Dec. 8 for the second half-semester.</w:t>
            </w:r>
          </w:p>
          <w:p w14:paraId="05F0C3E1" w14:textId="77777777" w:rsidR="00DC3C54" w:rsidRPr="00DC3C54" w:rsidRDefault="00DC3C54" w:rsidP="00DC3C54">
            <w:pPr>
              <w:jc w:val="both"/>
              <w:rPr>
                <w:rFonts w:ascii="Garamond" w:hAnsi="Garamond"/>
              </w:rPr>
            </w:pPr>
          </w:p>
          <w:p w14:paraId="00975134" w14:textId="77777777" w:rsidR="00DC3C54" w:rsidRPr="00DC3C54" w:rsidRDefault="00DC3C54" w:rsidP="00DC3C54">
            <w:pPr>
              <w:jc w:val="both"/>
              <w:rPr>
                <w:rFonts w:ascii="Garamond" w:hAnsi="Garamond"/>
              </w:rPr>
            </w:pPr>
            <w:r w:rsidRPr="00DC3C54">
              <w:rPr>
                <w:rFonts w:ascii="Garamond" w:hAnsi="Garamond"/>
              </w:rPr>
              <w:t xml:space="preserve">Attendance at Pro Events will be 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DC3C54">
                <w:rPr>
                  <w:rStyle w:val="Hyperlink"/>
                  <w:rFonts w:ascii="Garamond" w:hAnsi="Garamond"/>
                </w:rPr>
                <w:t>proevents@uwsp.edu</w:t>
              </w:r>
            </w:hyperlink>
            <w:r w:rsidRPr="00DC3C54">
              <w:rPr>
                <w:rFonts w:ascii="Garamond" w:hAnsi="Garamond"/>
              </w:rPr>
              <w:t xml:space="preserve"> .</w:t>
            </w:r>
          </w:p>
          <w:p w14:paraId="4812EFC9" w14:textId="77777777" w:rsidR="00DC3C54" w:rsidRPr="00DC3C54" w:rsidRDefault="00DC3C54" w:rsidP="00DC3C54">
            <w:pPr>
              <w:jc w:val="both"/>
              <w:rPr>
                <w:rFonts w:ascii="Garamond" w:hAnsi="Garamond"/>
              </w:rPr>
            </w:pPr>
          </w:p>
          <w:p w14:paraId="4DF16E71" w14:textId="77DDA2B0" w:rsidR="000F044E" w:rsidRPr="00392D46" w:rsidRDefault="00DC3C54" w:rsidP="00B93BBA">
            <w:pPr>
              <w:jc w:val="both"/>
              <w:rPr>
                <w:rFonts w:ascii="Garamond" w:hAnsi="Garamond"/>
              </w:rPr>
            </w:pPr>
            <w:r w:rsidRPr="00DC3C54">
              <w:rPr>
                <w:rFonts w:ascii="Garamond" w:hAnsi="Garamond"/>
                <w:u w:val="single"/>
              </w:rPr>
              <w:t>If you have multiple courses or affiliations with Pro Events requirements, it is your responsibility to make sure you have attended enough events for each course/affiliation.</w:t>
            </w: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3"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4"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5"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6"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27"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28"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29"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0"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2"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3"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4"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w:t>
            </w:r>
            <w:r w:rsidRPr="00392D46">
              <w:rPr>
                <w:rFonts w:ascii="Garamond" w:hAnsi="Garamond" w:cstheme="minorHAnsi"/>
              </w:rPr>
              <w:lastRenderedPageBreak/>
              <w:t xml:space="preserve">information, go to: </w:t>
            </w:r>
            <w:hyperlink r:id="rId35"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6"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37"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38"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39"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0"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lastRenderedPageBreak/>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1"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2"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3"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lastRenderedPageBreak/>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lastRenderedPageBreak/>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mask is policy is in effect until Sept. 30. See the </w:t>
      </w:r>
      <w:hyperlink r:id="rId44"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5"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 xml:space="preserve">Strongly encourages all students, faculty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br/>
        <w:t>For students, UWSP employees and community members at DeBot Dining Center, Lower DeBot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11:30 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6"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47"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48"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49"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lastRenderedPageBreak/>
        <w:t>If you have questions or concerns, see our </w:t>
      </w:r>
      <w:hyperlink r:id="rId50"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1"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Thank you for your taking responsibility for your own health and keeping our campus communities safe so we may continue to have in-person classes, events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1125" w14:textId="77777777" w:rsidR="005F4C02" w:rsidRDefault="005F4C02" w:rsidP="00C35C23">
      <w:r>
        <w:separator/>
      </w:r>
    </w:p>
  </w:endnote>
  <w:endnote w:type="continuationSeparator" w:id="0">
    <w:p w14:paraId="20221E21" w14:textId="77777777" w:rsidR="005F4C02" w:rsidRDefault="005F4C0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45E717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93BBA">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79D7" w14:textId="77777777" w:rsidR="005F4C02" w:rsidRDefault="005F4C02" w:rsidP="00C35C23">
      <w:r>
        <w:separator/>
      </w:r>
    </w:p>
  </w:footnote>
  <w:footnote w:type="continuationSeparator" w:id="0">
    <w:p w14:paraId="77AD6BFD" w14:textId="77777777" w:rsidR="005F4C02" w:rsidRDefault="005F4C0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556791">
    <w:abstractNumId w:val="1"/>
  </w:num>
  <w:num w:numId="2" w16cid:durableId="1628469544">
    <w:abstractNumId w:val="6"/>
  </w:num>
  <w:num w:numId="3" w16cid:durableId="283972683">
    <w:abstractNumId w:val="10"/>
  </w:num>
  <w:num w:numId="4" w16cid:durableId="1659307953">
    <w:abstractNumId w:val="13"/>
  </w:num>
  <w:num w:numId="5" w16cid:durableId="118158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2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4136">
    <w:abstractNumId w:val="10"/>
  </w:num>
  <w:num w:numId="8" w16cid:durableId="706301578">
    <w:abstractNumId w:val="10"/>
  </w:num>
  <w:num w:numId="9" w16cid:durableId="1782407593">
    <w:abstractNumId w:val="10"/>
  </w:num>
  <w:num w:numId="10" w16cid:durableId="1875731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298916">
    <w:abstractNumId w:val="10"/>
  </w:num>
  <w:num w:numId="12" w16cid:durableId="814566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492473">
    <w:abstractNumId w:val="0"/>
  </w:num>
  <w:num w:numId="14" w16cid:durableId="1578831378">
    <w:abstractNumId w:val="9"/>
  </w:num>
  <w:num w:numId="15" w16cid:durableId="71893917">
    <w:abstractNumId w:val="12"/>
  </w:num>
  <w:num w:numId="16" w16cid:durableId="96952039">
    <w:abstractNumId w:val="7"/>
  </w:num>
  <w:num w:numId="17" w16cid:durableId="425734189">
    <w:abstractNumId w:val="11"/>
  </w:num>
  <w:num w:numId="18" w16cid:durableId="2020227966">
    <w:abstractNumId w:val="8"/>
  </w:num>
  <w:num w:numId="19" w16cid:durableId="1756434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07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308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322951">
    <w:abstractNumId w:val="4"/>
  </w:num>
  <w:num w:numId="23" w16cid:durableId="314991862">
    <w:abstractNumId w:val="17"/>
  </w:num>
  <w:num w:numId="24" w16cid:durableId="397244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007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38865">
    <w:abstractNumId w:val="18"/>
  </w:num>
  <w:num w:numId="27" w16cid:durableId="316081020">
    <w:abstractNumId w:val="2"/>
  </w:num>
  <w:num w:numId="28" w16cid:durableId="1001198260">
    <w:abstractNumId w:val="15"/>
  </w:num>
  <w:num w:numId="29" w16cid:durableId="1689869427">
    <w:abstractNumId w:val="16"/>
  </w:num>
  <w:num w:numId="30" w16cid:durableId="88628346">
    <w:abstractNumId w:val="3"/>
  </w:num>
  <w:num w:numId="31" w16cid:durableId="1246919819">
    <w:abstractNumId w:val="5"/>
  </w:num>
  <w:num w:numId="32" w16cid:durableId="318775412">
    <w:abstractNumId w:val="19"/>
  </w:num>
  <w:num w:numId="33" w16cid:durableId="430973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48C8"/>
    <w:rsid w:val="00027609"/>
    <w:rsid w:val="00034123"/>
    <w:rsid w:val="000527FB"/>
    <w:rsid w:val="0005651D"/>
    <w:rsid w:val="0007037C"/>
    <w:rsid w:val="00076465"/>
    <w:rsid w:val="000B17DE"/>
    <w:rsid w:val="000C4D9A"/>
    <w:rsid w:val="000D2A14"/>
    <w:rsid w:val="000E7DAD"/>
    <w:rsid w:val="000F044E"/>
    <w:rsid w:val="000F3624"/>
    <w:rsid w:val="001072C2"/>
    <w:rsid w:val="001425FC"/>
    <w:rsid w:val="00166525"/>
    <w:rsid w:val="001C647B"/>
    <w:rsid w:val="001C697E"/>
    <w:rsid w:val="001D308C"/>
    <w:rsid w:val="001F0FFC"/>
    <w:rsid w:val="001F7957"/>
    <w:rsid w:val="0020212B"/>
    <w:rsid w:val="002205F4"/>
    <w:rsid w:val="00233E54"/>
    <w:rsid w:val="00236E30"/>
    <w:rsid w:val="00251A4B"/>
    <w:rsid w:val="00271DD3"/>
    <w:rsid w:val="00274A86"/>
    <w:rsid w:val="00275568"/>
    <w:rsid w:val="00292DBE"/>
    <w:rsid w:val="0029661B"/>
    <w:rsid w:val="002A69E9"/>
    <w:rsid w:val="002A6AF2"/>
    <w:rsid w:val="002B7BF6"/>
    <w:rsid w:val="002E0CAC"/>
    <w:rsid w:val="002E304D"/>
    <w:rsid w:val="002F7E51"/>
    <w:rsid w:val="00306352"/>
    <w:rsid w:val="00306642"/>
    <w:rsid w:val="00313578"/>
    <w:rsid w:val="003336AE"/>
    <w:rsid w:val="00360D85"/>
    <w:rsid w:val="00392D46"/>
    <w:rsid w:val="0039799E"/>
    <w:rsid w:val="003A7330"/>
    <w:rsid w:val="003C083B"/>
    <w:rsid w:val="003C416F"/>
    <w:rsid w:val="003F062B"/>
    <w:rsid w:val="003F1AE1"/>
    <w:rsid w:val="00444CF7"/>
    <w:rsid w:val="00463109"/>
    <w:rsid w:val="00465F35"/>
    <w:rsid w:val="004706F5"/>
    <w:rsid w:val="00472A5C"/>
    <w:rsid w:val="00487C8F"/>
    <w:rsid w:val="004B145D"/>
    <w:rsid w:val="004E3ABB"/>
    <w:rsid w:val="004E5541"/>
    <w:rsid w:val="004F2F7D"/>
    <w:rsid w:val="00531E4B"/>
    <w:rsid w:val="005357A6"/>
    <w:rsid w:val="00546FB6"/>
    <w:rsid w:val="005559AF"/>
    <w:rsid w:val="00556D53"/>
    <w:rsid w:val="005578A5"/>
    <w:rsid w:val="005609FA"/>
    <w:rsid w:val="00564490"/>
    <w:rsid w:val="00571146"/>
    <w:rsid w:val="005C0522"/>
    <w:rsid w:val="005E20D8"/>
    <w:rsid w:val="005F0FF9"/>
    <w:rsid w:val="005F4C02"/>
    <w:rsid w:val="00600E9C"/>
    <w:rsid w:val="006061D5"/>
    <w:rsid w:val="00615E3A"/>
    <w:rsid w:val="00637563"/>
    <w:rsid w:val="00644629"/>
    <w:rsid w:val="006457A0"/>
    <w:rsid w:val="0064666B"/>
    <w:rsid w:val="00646B6D"/>
    <w:rsid w:val="00665B97"/>
    <w:rsid w:val="0067113A"/>
    <w:rsid w:val="00671C88"/>
    <w:rsid w:val="00695857"/>
    <w:rsid w:val="006A4964"/>
    <w:rsid w:val="006B3763"/>
    <w:rsid w:val="006C211E"/>
    <w:rsid w:val="006D5BF0"/>
    <w:rsid w:val="006E48F9"/>
    <w:rsid w:val="006E490B"/>
    <w:rsid w:val="007025BC"/>
    <w:rsid w:val="00707C17"/>
    <w:rsid w:val="00714D02"/>
    <w:rsid w:val="00724B49"/>
    <w:rsid w:val="00731E75"/>
    <w:rsid w:val="00735105"/>
    <w:rsid w:val="0074249A"/>
    <w:rsid w:val="00745254"/>
    <w:rsid w:val="007547EF"/>
    <w:rsid w:val="007640F6"/>
    <w:rsid w:val="00774272"/>
    <w:rsid w:val="00793CE1"/>
    <w:rsid w:val="0079466E"/>
    <w:rsid w:val="007A69C0"/>
    <w:rsid w:val="007B7CDA"/>
    <w:rsid w:val="007D0B4D"/>
    <w:rsid w:val="007F5DBA"/>
    <w:rsid w:val="0080147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5A1D"/>
    <w:rsid w:val="008C6FE3"/>
    <w:rsid w:val="008D4407"/>
    <w:rsid w:val="008E1B37"/>
    <w:rsid w:val="00900AB3"/>
    <w:rsid w:val="00905E96"/>
    <w:rsid w:val="00911947"/>
    <w:rsid w:val="009221AF"/>
    <w:rsid w:val="00931E16"/>
    <w:rsid w:val="00934ED9"/>
    <w:rsid w:val="009446FE"/>
    <w:rsid w:val="009456C2"/>
    <w:rsid w:val="009535AA"/>
    <w:rsid w:val="0095403A"/>
    <w:rsid w:val="0096301F"/>
    <w:rsid w:val="009A0912"/>
    <w:rsid w:val="009A3693"/>
    <w:rsid w:val="009A46C4"/>
    <w:rsid w:val="009B395F"/>
    <w:rsid w:val="009C300C"/>
    <w:rsid w:val="009E6DE9"/>
    <w:rsid w:val="009F0FFE"/>
    <w:rsid w:val="009F315B"/>
    <w:rsid w:val="009F7EB9"/>
    <w:rsid w:val="00A1057D"/>
    <w:rsid w:val="00A12710"/>
    <w:rsid w:val="00A1602F"/>
    <w:rsid w:val="00A63ABF"/>
    <w:rsid w:val="00A70C7A"/>
    <w:rsid w:val="00A837A8"/>
    <w:rsid w:val="00A83992"/>
    <w:rsid w:val="00A90399"/>
    <w:rsid w:val="00A940D2"/>
    <w:rsid w:val="00AA6DE0"/>
    <w:rsid w:val="00AB5250"/>
    <w:rsid w:val="00AC7ADA"/>
    <w:rsid w:val="00AD6F3B"/>
    <w:rsid w:val="00AE2A39"/>
    <w:rsid w:val="00AE3F8D"/>
    <w:rsid w:val="00AF2677"/>
    <w:rsid w:val="00AF682A"/>
    <w:rsid w:val="00B2465A"/>
    <w:rsid w:val="00B35819"/>
    <w:rsid w:val="00B40244"/>
    <w:rsid w:val="00B42913"/>
    <w:rsid w:val="00B43293"/>
    <w:rsid w:val="00B614DD"/>
    <w:rsid w:val="00B93BBA"/>
    <w:rsid w:val="00BA1CE4"/>
    <w:rsid w:val="00BA368E"/>
    <w:rsid w:val="00BE43BD"/>
    <w:rsid w:val="00C07D48"/>
    <w:rsid w:val="00C1067A"/>
    <w:rsid w:val="00C10A22"/>
    <w:rsid w:val="00C13448"/>
    <w:rsid w:val="00C16B34"/>
    <w:rsid w:val="00C20C57"/>
    <w:rsid w:val="00C3030B"/>
    <w:rsid w:val="00C35C23"/>
    <w:rsid w:val="00C83888"/>
    <w:rsid w:val="00C84B15"/>
    <w:rsid w:val="00CA4C51"/>
    <w:rsid w:val="00CA4E51"/>
    <w:rsid w:val="00CC745E"/>
    <w:rsid w:val="00CF2F84"/>
    <w:rsid w:val="00D0184A"/>
    <w:rsid w:val="00D06292"/>
    <w:rsid w:val="00D116C8"/>
    <w:rsid w:val="00D5624E"/>
    <w:rsid w:val="00D57096"/>
    <w:rsid w:val="00D67BE8"/>
    <w:rsid w:val="00D87241"/>
    <w:rsid w:val="00D90D49"/>
    <w:rsid w:val="00DB5B45"/>
    <w:rsid w:val="00DC3C54"/>
    <w:rsid w:val="00DC44C6"/>
    <w:rsid w:val="00DF1ABA"/>
    <w:rsid w:val="00E13D04"/>
    <w:rsid w:val="00E25846"/>
    <w:rsid w:val="00E306C0"/>
    <w:rsid w:val="00E3088E"/>
    <w:rsid w:val="00E921B9"/>
    <w:rsid w:val="00EC0366"/>
    <w:rsid w:val="00EF67DC"/>
    <w:rsid w:val="00F00999"/>
    <w:rsid w:val="00F120EC"/>
    <w:rsid w:val="00F17AB8"/>
    <w:rsid w:val="00F41F9D"/>
    <w:rsid w:val="00F521C8"/>
    <w:rsid w:val="00F615CA"/>
    <w:rsid w:val="00F65B71"/>
    <w:rsid w:val="00F7448C"/>
    <w:rsid w:val="00F75D35"/>
    <w:rsid w:val="00F76537"/>
    <w:rsid w:val="00F975E1"/>
    <w:rsid w:val="00FA5AF2"/>
    <w:rsid w:val="00FB3C7B"/>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79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yperlink" Target="https://www.uwsp.edu/coronavirus/Pages/ItsWorthAShot.aspx" TargetMode="External"/><Relationship Id="rId50" Type="http://schemas.openxmlformats.org/officeDocument/2006/relationships/hyperlink" Target="http://www.uwsp.edu/coronaviru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uwsp.edu/coronavirus/Pages/testing.asp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uwsp.edu/online/Pages/Student-Sup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20health.services.office@uwsp.edu"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uwsp.edu/C19TestingExemption" TargetMode="External"/><Relationship Id="rId59" Type="http://schemas.openxmlformats.org/officeDocument/2006/relationships/theme" Target="theme/theme1.xml"/><Relationship Id="rId20" Type="http://schemas.openxmlformats.org/officeDocument/2006/relationships/hyperlink" Target="https://www.uwsp.edu/tlc/Pages/techTutoring.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hyperlink" Target="https://www.wisconsin.edu/70for7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uwsp.edu/coronavirus/Documents/UWSPChancellorOrder8.30.2021.pdf"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340</Number>
    <Section xmlns="409cf07c-705a-4568-bc2e-e1a7cd36a2d3" xsi:nil="true"/>
    <Calendar_x0020_Year xmlns="409cf07c-705a-4568-bc2e-e1a7cd36a2d3">2023</Calendar_x0020_Year>
    <Course_x0020_Name xmlns="409cf07c-705a-4568-bc2e-e1a7cd36a2d3">Business Law and Ethics</Course_x0020_Name>
    <Instructor xmlns="409cf07c-705a-4568-bc2e-e1a7cd36a2d3" xsi:nil="true"/>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FEA82-631A-4F9A-BDAC-3E15A9C2F726}"/>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6</cp:revision>
  <dcterms:created xsi:type="dcterms:W3CDTF">2023-09-04T17:21:00Z</dcterms:created>
  <dcterms:modified xsi:type="dcterms:W3CDTF">2023-09-04T17:26:00Z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